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5FD0D960" w14:textId="77777777" w:rsidR="00CD36CF" w:rsidRDefault="00D81E8F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1B581C7B" w:rsidR="00CD36CF" w:rsidRDefault="00D81E8F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2173B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B2173B" w:rsidRPr="00B2173B">
            <w:t>4667</w:t>
          </w:r>
        </w:sdtContent>
      </w:sdt>
    </w:p>
    <w:p w14:paraId="3C46A282" w14:textId="77777777" w:rsidR="00B2173B" w:rsidRDefault="00B2173B" w:rsidP="002010BF">
      <w:pPr>
        <w:pStyle w:val="References"/>
        <w:rPr>
          <w:smallCaps/>
        </w:rPr>
      </w:pPr>
      <w:r>
        <w:rPr>
          <w:smallCaps/>
        </w:rPr>
        <w:t>By Delegate Chiarelli</w:t>
      </w:r>
    </w:p>
    <w:p w14:paraId="0D23AA3D" w14:textId="77777777" w:rsidR="007B214D" w:rsidRDefault="00CD36CF" w:rsidP="00B2173B">
      <w:pPr>
        <w:pStyle w:val="References"/>
        <w:sectPr w:rsidR="007B214D" w:rsidSect="00B2173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00332E">
            <w:t xml:space="preserve">Originating in the Committee on the Judiciary; Reported on February </w:t>
          </w:r>
          <w:r w:rsidR="00FA391C">
            <w:t>21</w:t>
          </w:r>
          <w:r w:rsidR="0000332E">
            <w:t>, 2024</w:t>
          </w:r>
        </w:sdtContent>
      </w:sdt>
      <w:r>
        <w:t>]</w:t>
      </w:r>
    </w:p>
    <w:p w14:paraId="70BD29FD" w14:textId="303EBDDB" w:rsidR="00B2173B" w:rsidRDefault="00B2173B" w:rsidP="00B2173B">
      <w:pPr>
        <w:pStyle w:val="References"/>
      </w:pPr>
    </w:p>
    <w:p w14:paraId="31B45B06" w14:textId="26B3D4FA" w:rsidR="00B2173B" w:rsidRPr="003966A8" w:rsidRDefault="00B2173B" w:rsidP="007B214D">
      <w:pPr>
        <w:pStyle w:val="TitleSection"/>
        <w:rPr>
          <w:color w:val="auto"/>
        </w:rPr>
      </w:pPr>
      <w:r w:rsidRPr="003966A8">
        <w:rPr>
          <w:color w:val="auto"/>
        </w:rPr>
        <w:lastRenderedPageBreak/>
        <w:t xml:space="preserve">A BILL to amend </w:t>
      </w:r>
      <w:r w:rsidR="00C907A4">
        <w:rPr>
          <w:color w:val="auto"/>
        </w:rPr>
        <w:t xml:space="preserve">and reenact §16-64-3 of </w:t>
      </w:r>
      <w:r w:rsidRPr="003966A8">
        <w:rPr>
          <w:color w:val="auto"/>
        </w:rPr>
        <w:t xml:space="preserve">the Code of West Virginia, 1931, as amended, relating to </w:t>
      </w:r>
      <w:r w:rsidR="00C907A4">
        <w:rPr>
          <w:color w:val="auto"/>
        </w:rPr>
        <w:t>syringe services programs; and prohibiting syringe services programs from distributing</w:t>
      </w:r>
      <w:r w:rsidR="00FA391C">
        <w:rPr>
          <w:color w:val="auto"/>
        </w:rPr>
        <w:t xml:space="preserve"> listed smoking devices</w:t>
      </w:r>
      <w:r w:rsidRPr="003966A8">
        <w:rPr>
          <w:color w:val="auto"/>
        </w:rPr>
        <w:t>.</w:t>
      </w:r>
    </w:p>
    <w:p w14:paraId="6F14CDF8" w14:textId="77777777" w:rsidR="00B2173B" w:rsidRPr="003966A8" w:rsidRDefault="00B2173B" w:rsidP="007B214D">
      <w:pPr>
        <w:pStyle w:val="EnactingClause"/>
        <w:rPr>
          <w:color w:val="auto"/>
        </w:rPr>
      </w:pPr>
      <w:r w:rsidRPr="003966A8">
        <w:rPr>
          <w:color w:val="auto"/>
        </w:rPr>
        <w:t>Be it enacted by the Legislature of West Virginia:</w:t>
      </w:r>
    </w:p>
    <w:p w14:paraId="0C2E864D" w14:textId="77777777" w:rsidR="00B2173B" w:rsidRPr="003966A8" w:rsidRDefault="00B2173B" w:rsidP="007B214D">
      <w:pPr>
        <w:pStyle w:val="EnactingClause"/>
        <w:rPr>
          <w:color w:val="auto"/>
        </w:rPr>
        <w:sectPr w:rsidR="00B2173B" w:rsidRPr="003966A8" w:rsidSect="007B214D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FE2FE54" w14:textId="77777777" w:rsidR="00B2173B" w:rsidRPr="003966A8" w:rsidRDefault="00B2173B" w:rsidP="007B214D">
      <w:pPr>
        <w:pStyle w:val="ArticleHeading"/>
        <w:widowControl/>
        <w:rPr>
          <w:color w:val="auto"/>
        </w:rPr>
        <w:sectPr w:rsidR="00B2173B" w:rsidRPr="003966A8" w:rsidSect="00B2173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966A8">
        <w:rPr>
          <w:color w:val="auto"/>
        </w:rPr>
        <w:t>ARTICLE 64. SYRINGE SERVICES PROGRAMS.</w:t>
      </w:r>
    </w:p>
    <w:p w14:paraId="367027E8" w14:textId="77777777" w:rsidR="00C907A4" w:rsidRPr="00C907A4" w:rsidRDefault="00C907A4" w:rsidP="007B214D">
      <w:pPr>
        <w:suppressLineNumbers/>
        <w:ind w:left="720" w:hanging="720"/>
        <w:jc w:val="both"/>
        <w:outlineLvl w:val="3"/>
        <w:rPr>
          <w:rFonts w:eastAsia="Calibri" w:cs="Times New Roman"/>
          <w:b/>
          <w:color w:val="000000"/>
        </w:rPr>
        <w:sectPr w:rsidR="00C907A4" w:rsidRPr="00C907A4" w:rsidSect="004049D8">
          <w:footerReference w:type="default" r:id="rId1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Hlk68628887"/>
      <w:r w:rsidRPr="00C907A4">
        <w:rPr>
          <w:rFonts w:eastAsia="Calibri" w:cs="Times New Roman"/>
          <w:b/>
          <w:color w:val="000000"/>
        </w:rPr>
        <w:t>§16-64-3.</w:t>
      </w:r>
      <w:bookmarkEnd w:id="0"/>
      <w:r w:rsidRPr="00C907A4">
        <w:rPr>
          <w:rFonts w:eastAsia="Calibri" w:cs="Times New Roman"/>
          <w:b/>
          <w:color w:val="000000"/>
        </w:rPr>
        <w:t xml:space="preserve"> Program requirements.</w:t>
      </w:r>
    </w:p>
    <w:p w14:paraId="07B7C24E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>(a) To be approved for a license, a syringe services program shall be part of a harm reduction program which offers or refers an individual to the following services which shall be documented in the application:</w:t>
      </w:r>
    </w:p>
    <w:p w14:paraId="2FA5E7B4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bookmarkStart w:id="1" w:name="_Hlk68077280"/>
      <w:r w:rsidRPr="00C907A4">
        <w:rPr>
          <w:rFonts w:eastAsia="Calibri" w:cs="Times New Roman"/>
          <w:color w:val="000000"/>
        </w:rPr>
        <w:t>(1) HIV, hepatitis, and sexually transmitted diseases screening;</w:t>
      </w:r>
    </w:p>
    <w:p w14:paraId="0AB6B52B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>(2) Vaccinations;</w:t>
      </w:r>
    </w:p>
    <w:p w14:paraId="1E50DEC2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>(3) Birth control and long-term birth control;</w:t>
      </w:r>
    </w:p>
    <w:p w14:paraId="1F7E6B6E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>(4) Behavioral health services;</w:t>
      </w:r>
    </w:p>
    <w:p w14:paraId="4FEC2238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>(5) Overdose prevention supplies and education;</w:t>
      </w:r>
    </w:p>
    <w:bookmarkEnd w:id="1"/>
    <w:p w14:paraId="30E98E38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>(6) Syringe collection and sharps disposal;</w:t>
      </w:r>
    </w:p>
    <w:p w14:paraId="0B01C5F3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>(7) Educational services related to disease transmission;</w:t>
      </w:r>
    </w:p>
    <w:p w14:paraId="5E13B951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 xml:space="preserve">(8) Assist or refer an individual to a substance use treatment program;  </w:t>
      </w:r>
    </w:p>
    <w:p w14:paraId="35B9418D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>(9) Refer to a health care practitioner or treat medical conditions; and</w:t>
      </w:r>
    </w:p>
    <w:p w14:paraId="1F1491FF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 xml:space="preserve">(10) Programmatic guidelines including a sharps disposal plan, a staff training plan, a data collection and program evaluation plan, and a community relations plan. </w:t>
      </w:r>
    </w:p>
    <w:p w14:paraId="733199F5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>(b) A syringe services program:</w:t>
      </w:r>
    </w:p>
    <w:p w14:paraId="50EC404B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 xml:space="preserve">(1) Shall offer services, at every visit, from a qualified licensed health care provider; </w:t>
      </w:r>
    </w:p>
    <w:p w14:paraId="126B537E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>(2) Shall exclude minors from participation in the syringe exchange, but may provide minors with harm reduction services;</w:t>
      </w:r>
    </w:p>
    <w:p w14:paraId="3A6EBEDF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>(3) Shall ensure a syringe is unique to the syringe services program;</w:t>
      </w:r>
    </w:p>
    <w:p w14:paraId="459D5065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bookmarkStart w:id="2" w:name="_Hlk68628674"/>
      <w:r w:rsidRPr="00C907A4">
        <w:rPr>
          <w:rFonts w:eastAsia="Calibri" w:cs="Times New Roman"/>
          <w:color w:val="000000"/>
        </w:rPr>
        <w:t>(4) Shall distribute syringes with a goal of a 1:1 model;</w:t>
      </w:r>
      <w:bookmarkEnd w:id="2"/>
    </w:p>
    <w:p w14:paraId="3F22154C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lastRenderedPageBreak/>
        <w:t>(</w:t>
      </w:r>
      <w:bookmarkStart w:id="3" w:name="_Hlk68628698"/>
      <w:r w:rsidRPr="00C907A4">
        <w:rPr>
          <w:rFonts w:eastAsia="Calibri" w:cs="Times New Roman"/>
          <w:color w:val="000000"/>
        </w:rPr>
        <w:t>5) May substitute weighing the volume of syringes returned versus dispensed as specified. This substitution is only permissible if it can be done accurately and in the following manner:</w:t>
      </w:r>
      <w:bookmarkEnd w:id="3"/>
      <w:r w:rsidRPr="00C907A4">
        <w:rPr>
          <w:rFonts w:eastAsia="Calibri" w:cs="Times New Roman"/>
          <w:color w:val="000000"/>
        </w:rPr>
        <w:t xml:space="preserve"> </w:t>
      </w:r>
    </w:p>
    <w:p w14:paraId="1997DFF3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>(A) The syringes shall be contained in a see-through container; and</w:t>
      </w:r>
    </w:p>
    <w:p w14:paraId="727730DC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 xml:space="preserve">(B) A visual inspection of the container shall take place prior to the syringes being weighed; </w:t>
      </w:r>
    </w:p>
    <w:p w14:paraId="619A61FA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bookmarkStart w:id="4" w:name="_Hlk68628752"/>
      <w:r w:rsidRPr="00C907A4">
        <w:rPr>
          <w:rFonts w:eastAsia="Calibri" w:cs="Times New Roman"/>
          <w:color w:val="000000"/>
        </w:rPr>
        <w:t>(6) Shall distribute the syringe directly to the program recipient;</w:t>
      </w:r>
      <w:bookmarkEnd w:id="4"/>
    </w:p>
    <w:p w14:paraId="7AADAFF9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>(7) Proof of West Virginia identification upon dispensing of the needles;</w:t>
      </w:r>
    </w:p>
    <w:p w14:paraId="7444E2D5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>(8) Shall train staff on:</w:t>
      </w:r>
    </w:p>
    <w:p w14:paraId="11BEFD7E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>(A) The services and eligibility requirements of the program;</w:t>
      </w:r>
    </w:p>
    <w:p w14:paraId="670F84D7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 xml:space="preserve">(B) The services provided by the program; </w:t>
      </w:r>
    </w:p>
    <w:p w14:paraId="5968238A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 xml:space="preserve">(C) The applicant’s policies and procedures concerning syringe exchange transactions; </w:t>
      </w:r>
      <w:r w:rsidRPr="00C907A4">
        <w:rPr>
          <w:rFonts w:eastAsia="Calibri" w:cs="Times New Roman"/>
          <w:color w:val="000000"/>
        </w:rPr>
        <w:tab/>
      </w:r>
    </w:p>
    <w:p w14:paraId="0B285381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 xml:space="preserve">(D) Disposing of infectious waste; </w:t>
      </w:r>
    </w:p>
    <w:p w14:paraId="251844B2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 xml:space="preserve">(E) Sharps waste disposal education that ensures familiarity with the state law regulating proper disposal of home-generated sharps waste; </w:t>
      </w:r>
    </w:p>
    <w:p w14:paraId="2F10296C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 xml:space="preserve">(F) Procedures for obtaining or making referrals; </w:t>
      </w:r>
    </w:p>
    <w:p w14:paraId="1A11D606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 xml:space="preserve">(G) Opioid antagonist administration; </w:t>
      </w:r>
    </w:p>
    <w:p w14:paraId="394C6A17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 xml:space="preserve">(H) Cultural diversity and sensitivity to protected classes under state and federal law; and </w:t>
      </w:r>
    </w:p>
    <w:p w14:paraId="438EB9E4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>(I) Completion of attendance logs for participation in mandatory training;</w:t>
      </w:r>
    </w:p>
    <w:p w14:paraId="557E28E2" w14:textId="7801DEA5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  <w:u w:val="single"/>
        </w:rPr>
      </w:pPr>
      <w:r w:rsidRPr="00C907A4">
        <w:rPr>
          <w:rFonts w:eastAsia="Calibri" w:cs="Times New Roman"/>
          <w:color w:val="000000"/>
        </w:rPr>
        <w:t xml:space="preserve">(9) </w:t>
      </w:r>
      <w:bookmarkStart w:id="5" w:name="_Hlk68628854"/>
      <w:r w:rsidRPr="00C907A4">
        <w:rPr>
          <w:rFonts w:eastAsia="Calibri" w:cs="Times New Roman"/>
          <w:strike/>
          <w:color w:val="000000"/>
        </w:rPr>
        <w:t>Maintain</w:t>
      </w:r>
      <w:r w:rsidRPr="00C907A4">
        <w:rPr>
          <w:rFonts w:eastAsia="Calibri" w:cs="Times New Roman"/>
          <w:color w:val="000000"/>
        </w:rPr>
        <w:t xml:space="preserve"> </w:t>
      </w:r>
      <w:r w:rsidRPr="00C907A4">
        <w:rPr>
          <w:rFonts w:eastAsia="Calibri" w:cs="Times New Roman"/>
          <w:color w:val="000000"/>
          <w:u w:val="single"/>
        </w:rPr>
        <w:t>Shall maintain</w:t>
      </w:r>
      <w:r>
        <w:rPr>
          <w:rFonts w:eastAsia="Calibri" w:cs="Times New Roman"/>
          <w:color w:val="000000"/>
        </w:rPr>
        <w:t xml:space="preserve"> </w:t>
      </w:r>
      <w:r w:rsidRPr="00C907A4">
        <w:rPr>
          <w:rFonts w:eastAsia="Calibri" w:cs="Times New Roman"/>
          <w:color w:val="000000"/>
        </w:rPr>
        <w:t>a program for the public to report syringe litter and shall endeavor to collect all syringe litter in the community</w:t>
      </w:r>
      <w:bookmarkEnd w:id="5"/>
      <w:r w:rsidRPr="00C907A4">
        <w:rPr>
          <w:rFonts w:eastAsia="Calibri" w:cs="Times New Roman"/>
          <w:color w:val="000000"/>
        </w:rPr>
        <w:t xml:space="preserve">; </w:t>
      </w:r>
    </w:p>
    <w:p w14:paraId="5E559E76" w14:textId="79E76306" w:rsidR="00081A51" w:rsidRDefault="00C907A4" w:rsidP="007B214D">
      <w:pPr>
        <w:ind w:firstLine="720"/>
        <w:jc w:val="both"/>
        <w:rPr>
          <w:rFonts w:eastAsia="Calibri" w:cs="Times New Roman"/>
          <w:color w:val="000000"/>
          <w:u w:val="single"/>
        </w:rPr>
      </w:pPr>
      <w:r w:rsidRPr="00C907A4">
        <w:rPr>
          <w:rFonts w:eastAsia="Calibri" w:cs="Times New Roman"/>
          <w:color w:val="000000"/>
          <w:u w:val="single"/>
        </w:rPr>
        <w:t xml:space="preserve">(10) </w:t>
      </w:r>
      <w:r w:rsidR="00081A51" w:rsidRPr="00081A51">
        <w:rPr>
          <w:rFonts w:eastAsia="Calibri" w:cs="Times New Roman"/>
          <w:color w:val="000000"/>
          <w:u w:val="single"/>
        </w:rPr>
        <w:t>Shall not distribute any smoking devices, including, but not limited to</w:t>
      </w:r>
      <w:r w:rsidR="00B222B4">
        <w:rPr>
          <w:rFonts w:eastAsia="Calibri" w:cs="Times New Roman"/>
          <w:color w:val="000000"/>
          <w:u w:val="single"/>
        </w:rPr>
        <w:t>,</w:t>
      </w:r>
      <w:r w:rsidR="00081A51" w:rsidRPr="00081A51">
        <w:rPr>
          <w:rFonts w:eastAsia="Calibri" w:cs="Times New Roman"/>
          <w:color w:val="000000"/>
          <w:u w:val="single"/>
        </w:rPr>
        <w:t xml:space="preserve"> hand pipes, bubblers, bongs, dab rigs, hookahs, crack pipes, </w:t>
      </w:r>
      <w:r w:rsidR="00136B3B">
        <w:rPr>
          <w:rFonts w:eastAsia="Calibri" w:cs="Times New Roman"/>
          <w:color w:val="000000"/>
          <w:u w:val="single"/>
        </w:rPr>
        <w:t xml:space="preserve">or </w:t>
      </w:r>
      <w:r w:rsidR="00081A51" w:rsidRPr="00081A51">
        <w:rPr>
          <w:rFonts w:eastAsia="Calibri" w:cs="Times New Roman"/>
          <w:color w:val="000000"/>
          <w:u w:val="single"/>
        </w:rPr>
        <w:t>disposable smoking devices</w:t>
      </w:r>
      <w:r w:rsidR="002D2570">
        <w:rPr>
          <w:rFonts w:eastAsia="Calibri" w:cs="Times New Roman"/>
          <w:color w:val="000000"/>
          <w:u w:val="single"/>
        </w:rPr>
        <w:t>.</w:t>
      </w:r>
    </w:p>
    <w:p w14:paraId="067B6BA1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 xml:space="preserve">(c) Each syringe services program shall have a </w:t>
      </w:r>
      <w:bookmarkStart w:id="6" w:name="_Hlk68629258"/>
      <w:r w:rsidRPr="00C907A4">
        <w:rPr>
          <w:rFonts w:eastAsia="Calibri" w:cs="Times New Roman"/>
          <w:color w:val="000000"/>
        </w:rPr>
        <w:t>syringe dispensing plan</w:t>
      </w:r>
      <w:bookmarkEnd w:id="6"/>
      <w:r w:rsidRPr="00C907A4">
        <w:rPr>
          <w:rFonts w:eastAsia="Calibri" w:cs="Times New Roman"/>
          <w:color w:val="000000"/>
        </w:rPr>
        <w:t xml:space="preserve"> which includes, but is not limited to the following:</w:t>
      </w:r>
    </w:p>
    <w:p w14:paraId="47DCC685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>(1) Maintaining records of returned syringes by participants for two years;</w:t>
      </w:r>
    </w:p>
    <w:p w14:paraId="7BB8BDA5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>(2) Preventing syringe stick injuries;</w:t>
      </w:r>
    </w:p>
    <w:p w14:paraId="79506144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lastRenderedPageBreak/>
        <w:t>(3) Tracking the number of syringes dispensed;</w:t>
      </w:r>
    </w:p>
    <w:p w14:paraId="1BB07780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 xml:space="preserve">(4) Tracking the number of syringes collected;  </w:t>
      </w:r>
    </w:p>
    <w:p w14:paraId="5BE51E79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>(5) Tracking the number of syringes collected as a result of community reports of syringe litter;</w:t>
      </w:r>
    </w:p>
    <w:p w14:paraId="7FCEF1E7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>(6) Eliminating direct handling of sharps waste;</w:t>
      </w:r>
    </w:p>
    <w:p w14:paraId="412324FA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>(7) Following a syringe stick protocol and plan;</w:t>
      </w:r>
    </w:p>
    <w:p w14:paraId="7C4E609C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>(8) A budget for sharps waste disposal or an explanation if no cost is associated with sharps waste disposal; and</w:t>
      </w:r>
    </w:p>
    <w:p w14:paraId="65DD400C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 xml:space="preserve">(9) A plan to coordinate with the continuum of care, including the requirements set forth in this section. </w:t>
      </w:r>
    </w:p>
    <w:p w14:paraId="73EF0477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>(d) If an applicant does not submit all of the documentation required in §16-63-2 of this code, the application shall be denied and returned to the applicant for completion.</w:t>
      </w:r>
    </w:p>
    <w:p w14:paraId="338B4FF4" w14:textId="77777777" w:rsidR="00C907A4" w:rsidRPr="00C907A4" w:rsidRDefault="00C907A4" w:rsidP="007B214D">
      <w:pPr>
        <w:ind w:firstLine="720"/>
        <w:jc w:val="both"/>
        <w:rPr>
          <w:rFonts w:eastAsia="Calibri" w:cs="Times New Roman"/>
          <w:color w:val="000000"/>
        </w:rPr>
      </w:pPr>
      <w:r w:rsidRPr="00C907A4">
        <w:rPr>
          <w:rFonts w:eastAsia="Calibri" w:cs="Times New Roman"/>
          <w:color w:val="000000"/>
        </w:rPr>
        <w:t xml:space="preserve">(e) If an applicant fails to comply with the program requirements, the application shall be denied and returned to the applicant for completion. </w:t>
      </w:r>
    </w:p>
    <w:p w14:paraId="007B5FC4" w14:textId="50698686" w:rsidR="00B2173B" w:rsidRPr="003966A8" w:rsidRDefault="00C907A4" w:rsidP="007B214D">
      <w:pPr>
        <w:ind w:firstLine="720"/>
        <w:jc w:val="both"/>
        <w:rPr>
          <w:color w:val="auto"/>
        </w:rPr>
      </w:pPr>
      <w:r w:rsidRPr="00C907A4">
        <w:rPr>
          <w:rFonts w:eastAsia="Calibri" w:cs="Times New Roman"/>
          <w:color w:val="000000"/>
        </w:rPr>
        <w:t>(f) A license is effective for one year.</w:t>
      </w:r>
    </w:p>
    <w:sectPr w:rsidR="00B2173B" w:rsidRPr="003966A8" w:rsidSect="00B2173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7456" w14:textId="77777777" w:rsidR="00946649" w:rsidRPr="00B844FE" w:rsidRDefault="00946649" w:rsidP="00B844FE">
      <w:r>
        <w:separator/>
      </w:r>
    </w:p>
  </w:endnote>
  <w:endnote w:type="continuationSeparator" w:id="0">
    <w:p w14:paraId="7A878074" w14:textId="77777777" w:rsidR="00946649" w:rsidRPr="00B844FE" w:rsidRDefault="009466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B3EA" w14:textId="77777777" w:rsidR="00B2173B" w:rsidRDefault="00B2173B" w:rsidP="00D908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E6FD471" w14:textId="77777777" w:rsidR="00B2173B" w:rsidRPr="00B2173B" w:rsidRDefault="00B2173B" w:rsidP="00B21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CD83" w14:textId="4B020848" w:rsidR="00B2173B" w:rsidRDefault="00B2173B" w:rsidP="00D908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3BCC4A8" w14:textId="4EA83C17" w:rsidR="00B2173B" w:rsidRPr="00B2173B" w:rsidRDefault="00B2173B" w:rsidP="00B21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B0AE" w14:textId="77777777" w:rsidR="00B2173B" w:rsidRPr="00B2173B" w:rsidRDefault="00B2173B" w:rsidP="00B2173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3800" w14:textId="21F0BCC1" w:rsidR="00B2173B" w:rsidRPr="00B2173B" w:rsidRDefault="00B2173B" w:rsidP="00B2173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B014" w14:textId="77777777" w:rsidR="00B2173B" w:rsidRPr="00B2173B" w:rsidRDefault="00B2173B" w:rsidP="00B2173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318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CE442" w14:textId="77777777" w:rsidR="00C907A4" w:rsidRDefault="00C907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DE21" w14:textId="77777777" w:rsidR="00946649" w:rsidRPr="00B844FE" w:rsidRDefault="00946649" w:rsidP="00B844FE">
      <w:r>
        <w:separator/>
      </w:r>
    </w:p>
  </w:footnote>
  <w:footnote w:type="continuationSeparator" w:id="0">
    <w:p w14:paraId="5CC4E3F2" w14:textId="77777777" w:rsidR="00946649" w:rsidRPr="00B844FE" w:rsidRDefault="009466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A7D8" w14:textId="029BE866" w:rsidR="00B2173B" w:rsidRPr="00B2173B" w:rsidRDefault="00B2173B" w:rsidP="00B2173B">
    <w:pPr>
      <w:pStyle w:val="Header"/>
    </w:pPr>
    <w:r>
      <w:t>CS for HB 4667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0CC1" w14:textId="6BB1B648" w:rsidR="00B2173B" w:rsidRPr="00B2173B" w:rsidRDefault="00B2173B" w:rsidP="00B2173B">
    <w:pPr>
      <w:pStyle w:val="Header"/>
    </w:pPr>
    <w:r>
      <w:t>CS for HB 4667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2B32" w14:textId="15652F76" w:rsidR="00B2173B" w:rsidRPr="00B2173B" w:rsidRDefault="00B2173B" w:rsidP="00B2173B">
    <w:pPr>
      <w:pStyle w:val="Header"/>
    </w:pPr>
    <w:r>
      <w:t>CS for HB 4667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8A15" w14:textId="1B178931" w:rsidR="00B2173B" w:rsidRPr="00B2173B" w:rsidRDefault="00B2173B" w:rsidP="00B2173B">
    <w:pPr>
      <w:pStyle w:val="Header"/>
    </w:pPr>
    <w:r>
      <w:t>CS for HB 4667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0047" w14:textId="4ADFC017" w:rsidR="00B2173B" w:rsidRPr="00B2173B" w:rsidRDefault="00B2173B" w:rsidP="00B2173B">
    <w:pPr>
      <w:pStyle w:val="Header"/>
    </w:pPr>
    <w:r>
      <w:t>CS for HB 4667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332E"/>
    <w:rsid w:val="0000526A"/>
    <w:rsid w:val="00081A51"/>
    <w:rsid w:val="00081D6D"/>
    <w:rsid w:val="00085D22"/>
    <w:rsid w:val="000C5C77"/>
    <w:rsid w:val="000C6062"/>
    <w:rsid w:val="000E647E"/>
    <w:rsid w:val="000F22B7"/>
    <w:rsid w:val="0010070F"/>
    <w:rsid w:val="00136B3B"/>
    <w:rsid w:val="0015112E"/>
    <w:rsid w:val="001552E7"/>
    <w:rsid w:val="001566B4"/>
    <w:rsid w:val="00191A28"/>
    <w:rsid w:val="00196E5C"/>
    <w:rsid w:val="001C279E"/>
    <w:rsid w:val="001D459E"/>
    <w:rsid w:val="002010BF"/>
    <w:rsid w:val="00213C37"/>
    <w:rsid w:val="00222F25"/>
    <w:rsid w:val="0027011C"/>
    <w:rsid w:val="00274200"/>
    <w:rsid w:val="00275740"/>
    <w:rsid w:val="00277D96"/>
    <w:rsid w:val="002A0269"/>
    <w:rsid w:val="002A0A45"/>
    <w:rsid w:val="002C2C6C"/>
    <w:rsid w:val="002D2570"/>
    <w:rsid w:val="00301F44"/>
    <w:rsid w:val="00303684"/>
    <w:rsid w:val="003143F5"/>
    <w:rsid w:val="00314854"/>
    <w:rsid w:val="00331B5A"/>
    <w:rsid w:val="003474D9"/>
    <w:rsid w:val="003C51CD"/>
    <w:rsid w:val="0040691F"/>
    <w:rsid w:val="004247A2"/>
    <w:rsid w:val="004B2795"/>
    <w:rsid w:val="004C13DD"/>
    <w:rsid w:val="004E3441"/>
    <w:rsid w:val="00562810"/>
    <w:rsid w:val="005A5366"/>
    <w:rsid w:val="006007F0"/>
    <w:rsid w:val="00631783"/>
    <w:rsid w:val="00637E73"/>
    <w:rsid w:val="006865E9"/>
    <w:rsid w:val="00691F3E"/>
    <w:rsid w:val="00694BFB"/>
    <w:rsid w:val="006A106B"/>
    <w:rsid w:val="006C523D"/>
    <w:rsid w:val="006D4036"/>
    <w:rsid w:val="006F63B2"/>
    <w:rsid w:val="0070502F"/>
    <w:rsid w:val="00736517"/>
    <w:rsid w:val="007B214D"/>
    <w:rsid w:val="007E02CF"/>
    <w:rsid w:val="007F1CF5"/>
    <w:rsid w:val="00834EDE"/>
    <w:rsid w:val="008736AA"/>
    <w:rsid w:val="008B1EBD"/>
    <w:rsid w:val="008D275D"/>
    <w:rsid w:val="009318F8"/>
    <w:rsid w:val="00946649"/>
    <w:rsid w:val="00954B98"/>
    <w:rsid w:val="00980327"/>
    <w:rsid w:val="009C1EA5"/>
    <w:rsid w:val="009F1067"/>
    <w:rsid w:val="00A31E01"/>
    <w:rsid w:val="00A527AD"/>
    <w:rsid w:val="00A718CF"/>
    <w:rsid w:val="00A72E7C"/>
    <w:rsid w:val="00A74921"/>
    <w:rsid w:val="00AC3B58"/>
    <w:rsid w:val="00AE48A0"/>
    <w:rsid w:val="00AE618A"/>
    <w:rsid w:val="00AE61BE"/>
    <w:rsid w:val="00B16F25"/>
    <w:rsid w:val="00B2173B"/>
    <w:rsid w:val="00B222B4"/>
    <w:rsid w:val="00B24422"/>
    <w:rsid w:val="00B80C20"/>
    <w:rsid w:val="00B844FE"/>
    <w:rsid w:val="00B97143"/>
    <w:rsid w:val="00BC562B"/>
    <w:rsid w:val="00C33014"/>
    <w:rsid w:val="00C33434"/>
    <w:rsid w:val="00C34869"/>
    <w:rsid w:val="00C42EB6"/>
    <w:rsid w:val="00C47E4E"/>
    <w:rsid w:val="00C85096"/>
    <w:rsid w:val="00C907A4"/>
    <w:rsid w:val="00CB20EF"/>
    <w:rsid w:val="00CC26D0"/>
    <w:rsid w:val="00CD12CB"/>
    <w:rsid w:val="00CD36CF"/>
    <w:rsid w:val="00CF1DCA"/>
    <w:rsid w:val="00D27498"/>
    <w:rsid w:val="00D579FC"/>
    <w:rsid w:val="00D7428E"/>
    <w:rsid w:val="00D81E8F"/>
    <w:rsid w:val="00DA318B"/>
    <w:rsid w:val="00DD700B"/>
    <w:rsid w:val="00DE526B"/>
    <w:rsid w:val="00DF199D"/>
    <w:rsid w:val="00E01542"/>
    <w:rsid w:val="00E365F1"/>
    <w:rsid w:val="00E62F48"/>
    <w:rsid w:val="00E831B3"/>
    <w:rsid w:val="00E94767"/>
    <w:rsid w:val="00EB203E"/>
    <w:rsid w:val="00EE70CB"/>
    <w:rsid w:val="00F01B45"/>
    <w:rsid w:val="00F23775"/>
    <w:rsid w:val="00F41CA2"/>
    <w:rsid w:val="00F443C0"/>
    <w:rsid w:val="00F62EFB"/>
    <w:rsid w:val="00F939A4"/>
    <w:rsid w:val="00FA391C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250BC445-2DCD-4FC5-877F-A7CE8C1A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2173B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B2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FA2ACF" w:rsidRDefault="009C0155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FA2ACF" w:rsidRDefault="009C0155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FA2ACF" w:rsidRDefault="009C0155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FA2ACF" w:rsidRDefault="009C0155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4871D8"/>
    <w:rsid w:val="00573611"/>
    <w:rsid w:val="009C0155"/>
    <w:rsid w:val="00A72755"/>
    <w:rsid w:val="00C232D9"/>
    <w:rsid w:val="00FA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FA2ACF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654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Seth Wright</cp:lastModifiedBy>
  <cp:revision>2</cp:revision>
  <cp:lastPrinted>2024-02-22T20:50:00Z</cp:lastPrinted>
  <dcterms:created xsi:type="dcterms:W3CDTF">2024-02-22T20:50:00Z</dcterms:created>
  <dcterms:modified xsi:type="dcterms:W3CDTF">2024-02-22T20:50:00Z</dcterms:modified>
</cp:coreProperties>
</file>